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770" w:rsidRDefault="00B90770" w:rsidP="00B90770">
      <w:pPr>
        <w:spacing w:after="479" w:line="265" w:lineRule="auto"/>
        <w:ind w:left="346" w:right="0"/>
      </w:pPr>
      <w:r>
        <w:rPr>
          <w:b/>
        </w:rPr>
        <w:t>ORIENTAÇÕES PARA A ORGANIZAÇÃO DAS CONFERÊNCIAS MUNICIPAIS DA PESSOA IDOSA</w:t>
      </w:r>
    </w:p>
    <w:p w:rsidR="00B90770" w:rsidRDefault="00B90770" w:rsidP="00B90770">
      <w:pPr>
        <w:ind w:left="107" w:right="6" w:firstLine="992"/>
      </w:pPr>
      <w:r>
        <w:t xml:space="preserve">O </w:t>
      </w:r>
      <w:proofErr w:type="spellStart"/>
      <w:r>
        <w:t>Municipio</w:t>
      </w:r>
      <w:proofErr w:type="spellEnd"/>
      <w:r>
        <w:t xml:space="preserve"> de Inhumas e os parceiros Araçu,</w:t>
      </w:r>
      <w:r>
        <w:t xml:space="preserve"> </w:t>
      </w:r>
      <w:proofErr w:type="spellStart"/>
      <w:proofErr w:type="gramStart"/>
      <w:r>
        <w:t>Caturaí,Santa</w:t>
      </w:r>
      <w:proofErr w:type="spellEnd"/>
      <w:proofErr w:type="gramEnd"/>
      <w:r>
        <w:t xml:space="preserve"> </w:t>
      </w:r>
      <w:proofErr w:type="spellStart"/>
      <w:r>
        <w:t>Rosa,Itauçu</w:t>
      </w:r>
      <w:proofErr w:type="spellEnd"/>
      <w:r>
        <w:t xml:space="preserve"> encontram-se no momento da preparação da </w:t>
      </w:r>
      <w:r>
        <w:rPr>
          <w:b/>
        </w:rPr>
        <w:t>VI Conferência Regional da Pessoa Idosa</w:t>
      </w:r>
      <w:r>
        <w:t xml:space="preserve">, a realizar-se </w:t>
      </w:r>
      <w:r>
        <w:rPr>
          <w:b/>
        </w:rPr>
        <w:t xml:space="preserve">nos dias 20 de  Fevereiro de 2019.  </w:t>
      </w:r>
      <w:r>
        <w:t xml:space="preserve">As conferências são instâncias máximas de discussão, definição e deliberação das prioridades para o atendimento das necessidades das pessoas idosas e, sendo assim, o tema da VI Conferência Estadual da Pessoa Idosa é: </w:t>
      </w:r>
      <w:r>
        <w:rPr>
          <w:b/>
        </w:rPr>
        <w:t>“Os Desafios de Envelhecer no Século XXI e o Papel das Políticas Públicas”</w:t>
      </w:r>
      <w:r>
        <w:t xml:space="preserve">, tendo como </w:t>
      </w:r>
      <w:r>
        <w:rPr>
          <w:b/>
        </w:rPr>
        <w:t>eixos temáticos</w:t>
      </w:r>
      <w:r>
        <w:t>:</w:t>
      </w:r>
    </w:p>
    <w:p w:rsidR="00B90770" w:rsidRDefault="00B90770" w:rsidP="00B90770">
      <w:pPr>
        <w:numPr>
          <w:ilvl w:val="0"/>
          <w:numId w:val="1"/>
        </w:numPr>
        <w:spacing w:after="104" w:line="265" w:lineRule="auto"/>
        <w:ind w:right="0" w:hanging="258"/>
      </w:pPr>
      <w:r>
        <w:rPr>
          <w:b/>
        </w:rPr>
        <w:t>Direitos Fundamentais na Construção/Efetivação das Políticas Públicas.</w:t>
      </w:r>
    </w:p>
    <w:p w:rsidR="00B90770" w:rsidRDefault="00B90770" w:rsidP="00B90770">
      <w:pPr>
        <w:spacing w:after="107" w:line="259" w:lineRule="auto"/>
        <w:ind w:left="117" w:right="6"/>
      </w:pPr>
      <w:r>
        <w:t xml:space="preserve"> </w:t>
      </w:r>
      <w:proofErr w:type="spellStart"/>
      <w:r>
        <w:rPr>
          <w:b/>
        </w:rPr>
        <w:t>Subeixos</w:t>
      </w:r>
      <w:proofErr w:type="spellEnd"/>
      <w:r>
        <w:rPr>
          <w:b/>
        </w:rPr>
        <w:t>:</w:t>
      </w:r>
      <w:r>
        <w:t xml:space="preserve"> Saúde, Assistência Social, Previdência, Moradia, Transporte, Cultura, Esporte e Lazer.</w:t>
      </w:r>
    </w:p>
    <w:p w:rsidR="00B90770" w:rsidRDefault="00B90770" w:rsidP="00B90770">
      <w:pPr>
        <w:numPr>
          <w:ilvl w:val="0"/>
          <w:numId w:val="1"/>
        </w:numPr>
        <w:spacing w:after="104" w:line="265" w:lineRule="auto"/>
        <w:ind w:right="0" w:hanging="258"/>
      </w:pPr>
      <w:r>
        <w:rPr>
          <w:b/>
        </w:rPr>
        <w:t>Educação: assegurando direitos e emancipação humana.</w:t>
      </w:r>
    </w:p>
    <w:p w:rsidR="00B90770" w:rsidRDefault="00B90770" w:rsidP="00B90770">
      <w:pPr>
        <w:numPr>
          <w:ilvl w:val="0"/>
          <w:numId w:val="1"/>
        </w:numPr>
        <w:spacing w:after="104" w:line="265" w:lineRule="auto"/>
        <w:ind w:right="0" w:hanging="258"/>
      </w:pPr>
      <w:r>
        <w:rPr>
          <w:b/>
        </w:rPr>
        <w:t>Enfrentamento da Violação dos Direitos Humanos da Pessoa Idosa.</w:t>
      </w:r>
    </w:p>
    <w:p w:rsidR="00B90770" w:rsidRDefault="00B90770" w:rsidP="00B90770">
      <w:pPr>
        <w:numPr>
          <w:ilvl w:val="0"/>
          <w:numId w:val="1"/>
        </w:numPr>
        <w:spacing w:after="380" w:line="359" w:lineRule="auto"/>
        <w:ind w:right="0" w:hanging="258"/>
      </w:pPr>
      <w:r>
        <w:rPr>
          <w:b/>
        </w:rPr>
        <w:t xml:space="preserve">Os Conselhos de Direitos: seu papel na efetivação do controle social na geração </w:t>
      </w:r>
      <w:proofErr w:type="spellStart"/>
      <w:r>
        <w:rPr>
          <w:b/>
        </w:rPr>
        <w:t>eimplementação</w:t>
      </w:r>
      <w:proofErr w:type="spellEnd"/>
      <w:r>
        <w:rPr>
          <w:b/>
        </w:rPr>
        <w:t xml:space="preserve"> das políticas públicas.</w:t>
      </w:r>
    </w:p>
    <w:p w:rsidR="00B90770" w:rsidRDefault="00B90770" w:rsidP="00B90770">
      <w:pPr>
        <w:spacing w:after="104" w:line="265" w:lineRule="auto"/>
        <w:ind w:left="117" w:right="0"/>
      </w:pPr>
      <w:r>
        <w:rPr>
          <w:b/>
        </w:rPr>
        <w:t>OBJETIVOS:</w:t>
      </w:r>
    </w:p>
    <w:p w:rsidR="00B90770" w:rsidRDefault="00B90770" w:rsidP="00B90770">
      <w:pPr>
        <w:spacing w:after="105" w:line="259" w:lineRule="auto"/>
        <w:ind w:left="10" w:right="0"/>
        <w:jc w:val="right"/>
      </w:pPr>
      <w:r>
        <w:rPr>
          <w:b/>
        </w:rPr>
        <w:t>Geral:</w:t>
      </w:r>
      <w:r>
        <w:t xml:space="preserve"> Propiciar a reflexão e a discussão sobre os Desafios de Envelhecer no Século XXI e</w:t>
      </w:r>
    </w:p>
    <w:p w:rsidR="00B90770" w:rsidRDefault="00B90770" w:rsidP="00B90770">
      <w:pPr>
        <w:spacing w:after="391"/>
        <w:ind w:left="117" w:right="6"/>
      </w:pPr>
      <w:proofErr w:type="gramStart"/>
      <w:r>
        <w:t>o</w:t>
      </w:r>
      <w:proofErr w:type="gramEnd"/>
      <w:r>
        <w:t xml:space="preserve"> papel das políticas públicas como estratégia na garantia dos direitos da pessoa idosa.</w:t>
      </w:r>
    </w:p>
    <w:p w:rsidR="00B90770" w:rsidRDefault="00B90770" w:rsidP="00B90770">
      <w:pPr>
        <w:spacing w:after="104" w:line="265" w:lineRule="auto"/>
        <w:ind w:left="1550" w:right="0"/>
      </w:pPr>
      <w:r>
        <w:rPr>
          <w:b/>
        </w:rPr>
        <w:t>Específicos:</w:t>
      </w:r>
    </w:p>
    <w:p w:rsidR="00B90770" w:rsidRDefault="00B90770" w:rsidP="00B90770">
      <w:pPr>
        <w:numPr>
          <w:ilvl w:val="1"/>
          <w:numId w:val="2"/>
        </w:numPr>
        <w:ind w:right="6" w:hanging="360"/>
      </w:pPr>
      <w:r>
        <w:t>Esclarecer e difundir o aspecto conceitual, estratégico, político e operacional da gestão e do controle social na efetivação das ações de promoção e defesa dos direitos das pessoas idosas.</w:t>
      </w:r>
    </w:p>
    <w:p w:rsidR="00B90770" w:rsidRDefault="00B90770" w:rsidP="00B90770">
      <w:pPr>
        <w:numPr>
          <w:ilvl w:val="1"/>
          <w:numId w:val="2"/>
        </w:numPr>
        <w:ind w:right="6" w:hanging="360"/>
      </w:pPr>
      <w:r>
        <w:t>Reafirmar as competências, compromissos e corresponsabilidades dos órgãos governamentais e dos demais atores que atuam na promoção, proteção e defesa dos direitos das pessoas idosas.</w:t>
      </w:r>
    </w:p>
    <w:p w:rsidR="00B90770" w:rsidRDefault="00B90770" w:rsidP="00B90770">
      <w:pPr>
        <w:numPr>
          <w:ilvl w:val="1"/>
          <w:numId w:val="2"/>
        </w:numPr>
        <w:ind w:right="6" w:hanging="360"/>
      </w:pPr>
      <w:r>
        <w:t>Identificar as ações desenvolvidas no município acerca da promoção, proteção e defesa dos direitos das pessoas idosas.</w:t>
      </w:r>
    </w:p>
    <w:p w:rsidR="00B90770" w:rsidRDefault="00B90770" w:rsidP="00B90770">
      <w:pPr>
        <w:numPr>
          <w:ilvl w:val="1"/>
          <w:numId w:val="2"/>
        </w:numPr>
        <w:spacing w:after="109" w:line="259" w:lineRule="auto"/>
        <w:ind w:right="6" w:hanging="360"/>
      </w:pPr>
      <w:r>
        <w:t>Avaliar as ações em execução no município.</w:t>
      </w:r>
    </w:p>
    <w:p w:rsidR="00B90770" w:rsidRDefault="00B90770" w:rsidP="00B90770">
      <w:pPr>
        <w:numPr>
          <w:ilvl w:val="1"/>
          <w:numId w:val="2"/>
        </w:numPr>
        <w:ind w:right="6" w:hanging="360"/>
      </w:pPr>
      <w:r>
        <w:t>Propor prioridades de atuação aos órgãos governamentais da esfera municipal, responsáveis pela implementação da Política da Pessoa Idosa.</w:t>
      </w:r>
    </w:p>
    <w:p w:rsidR="00B90770" w:rsidRDefault="00B90770" w:rsidP="00B90770">
      <w:pPr>
        <w:numPr>
          <w:ilvl w:val="1"/>
          <w:numId w:val="2"/>
        </w:numPr>
        <w:spacing w:after="377"/>
        <w:ind w:right="6" w:hanging="360"/>
      </w:pPr>
      <w:r>
        <w:t>Definir estratégias para construção e efetivação da Rede de Atenção e de fluxos no enfrentamento da violação dos direitos das pessoas idosas.</w:t>
      </w:r>
    </w:p>
    <w:p w:rsidR="00B90770" w:rsidRDefault="00B90770" w:rsidP="00B90770">
      <w:pPr>
        <w:numPr>
          <w:ilvl w:val="1"/>
          <w:numId w:val="2"/>
        </w:numPr>
        <w:spacing w:after="377"/>
        <w:ind w:right="6" w:hanging="360"/>
      </w:pPr>
    </w:p>
    <w:p w:rsidR="00B90770" w:rsidRDefault="00B90770" w:rsidP="00B90770">
      <w:pPr>
        <w:ind w:left="107" w:right="6" w:firstLine="708"/>
      </w:pPr>
      <w:r>
        <w:lastRenderedPageBreak/>
        <w:t xml:space="preserve">O presente documento contém as informações necessárias para a realização da Conferência Regionalizada realizada em Inhumas com participação dos Municípios de Araçu, Caturaí, Itauçu, Santa Rosa e orientamos à todos envolvidos que leiam este documento com atenção e, em caso de </w:t>
      </w:r>
      <w:proofErr w:type="gramStart"/>
      <w:r>
        <w:t>dúvidas  comuniquem</w:t>
      </w:r>
      <w:proofErr w:type="gramEnd"/>
      <w:r>
        <w:t xml:space="preserve">-se com o CMI de Inhumas preferencialmente, através do e-mail: </w:t>
      </w:r>
      <w:hyperlink r:id="rId5" w:history="1">
        <w:r w:rsidRPr="00D37536">
          <w:rPr>
            <w:rStyle w:val="Hyperlink"/>
          </w:rPr>
          <w:t>cmi.inhumas.2018@gmail.com</w:t>
        </w:r>
      </w:hyperlink>
    </w:p>
    <w:p w:rsidR="00B90770" w:rsidRDefault="00B90770" w:rsidP="00B90770">
      <w:pPr>
        <w:ind w:left="107" w:right="6" w:firstLine="708"/>
      </w:pPr>
    </w:p>
    <w:p w:rsidR="00B90770" w:rsidRDefault="00B90770" w:rsidP="00B90770">
      <w:pPr>
        <w:numPr>
          <w:ilvl w:val="0"/>
          <w:numId w:val="3"/>
        </w:numPr>
        <w:spacing w:after="104" w:line="265" w:lineRule="auto"/>
        <w:ind w:right="0" w:hanging="406"/>
      </w:pPr>
      <w:r>
        <w:rPr>
          <w:b/>
        </w:rPr>
        <w:t>O que é uma CONFERÊNCIA?</w:t>
      </w:r>
    </w:p>
    <w:p w:rsidR="00B90770" w:rsidRDefault="00B90770" w:rsidP="00B90770">
      <w:pPr>
        <w:numPr>
          <w:ilvl w:val="1"/>
          <w:numId w:val="5"/>
        </w:numPr>
        <w:spacing w:after="31"/>
        <w:ind w:right="6" w:hanging="360"/>
      </w:pPr>
      <w:r>
        <w:t>É o fórum legítimo e democrático para a discussão das ações voltadas para as pessoas idosas na esfera municipal;</w:t>
      </w:r>
    </w:p>
    <w:p w:rsidR="00B90770" w:rsidRDefault="00B90770" w:rsidP="00B90770">
      <w:pPr>
        <w:numPr>
          <w:ilvl w:val="1"/>
          <w:numId w:val="5"/>
        </w:numPr>
        <w:ind w:right="6" w:hanging="360"/>
      </w:pPr>
      <w:r>
        <w:t>É a instância máxima de discussão, definição e deliberação das prioridades no atendimento das necessidades das pessoas idosas, as quais devem ser observadas na elaboração e execução da política municipal e fiscalizadas pelo Conselho Municipal da</w:t>
      </w:r>
    </w:p>
    <w:p w:rsidR="00B90770" w:rsidRDefault="00B90770" w:rsidP="00B90770">
      <w:pPr>
        <w:spacing w:after="136" w:line="259" w:lineRule="auto"/>
        <w:ind w:left="1736" w:right="6"/>
      </w:pPr>
      <w:r>
        <w:t>Pessoa Idosa;</w:t>
      </w:r>
    </w:p>
    <w:p w:rsidR="00B90770" w:rsidRPr="00B90770" w:rsidRDefault="00B90770" w:rsidP="00B90770">
      <w:pPr>
        <w:ind w:left="122" w:firstLine="0"/>
      </w:pPr>
      <w:r>
        <w:t xml:space="preserve">É o espaço para: </w:t>
      </w:r>
    </w:p>
    <w:p w:rsidR="00B90770" w:rsidRPr="00B90770" w:rsidRDefault="00B90770" w:rsidP="00B90770">
      <w:pPr>
        <w:ind w:left="122" w:firstLine="0"/>
      </w:pPr>
      <w:r w:rsidRPr="00B90770">
        <w:t>Avaliar a execução das ações de política social para as pessoas idosas;</w:t>
      </w:r>
    </w:p>
    <w:p w:rsidR="00B90770" w:rsidRPr="00B90770" w:rsidRDefault="00B90770" w:rsidP="00B90770">
      <w:pPr>
        <w:ind w:left="122" w:firstLine="0"/>
      </w:pPr>
      <w:r w:rsidRPr="00B90770">
        <w:t xml:space="preserve">Afirmar a garantia dos direitos </w:t>
      </w:r>
      <w:proofErr w:type="gramStart"/>
      <w:r w:rsidRPr="00B90770">
        <w:t xml:space="preserve">sociais; </w:t>
      </w:r>
      <w:r w:rsidRPr="00B90770">
        <w:t> Subsidiar</w:t>
      </w:r>
      <w:proofErr w:type="gramEnd"/>
      <w:r w:rsidRPr="00B90770">
        <w:t xml:space="preserve"> planos e projetos.</w:t>
      </w:r>
    </w:p>
    <w:p w:rsidR="00B90770" w:rsidRDefault="00B90770" w:rsidP="00B90770">
      <w:pPr>
        <w:ind w:left="107" w:right="6" w:firstLine="708"/>
      </w:pPr>
      <w:r>
        <w:t xml:space="preserve">Em resumo, a Conferência é o fórum legítimo e democrático para a discussão, revisão e avaliação das ações desenvolvidas para as pessoas idosas. Assim, suas deliberações devem apontar as demandas das pessoas idosas nas áreas de: Saúde, Assistência Social, Previdência, Moradia, Transporte, Cultura, Esporte e Lazer, entre outras. Como há muitas necessidades envolvidas, </w:t>
      </w:r>
      <w:r>
        <w:rPr>
          <w:b/>
          <w:u w:val="single" w:color="000000"/>
        </w:rPr>
        <w:t>deve ser deliberado sobre o que é prioritário e urgente</w:t>
      </w:r>
      <w:r>
        <w:t xml:space="preserve">. As prioridades resultam dos grupos de trabalho, dos quais participam </w:t>
      </w:r>
      <w:proofErr w:type="gramStart"/>
      <w:r>
        <w:t>os(</w:t>
      </w:r>
      <w:proofErr w:type="gramEnd"/>
      <w:r>
        <w:t xml:space="preserve">as) delegados(as) e convidados(as). </w:t>
      </w:r>
    </w:p>
    <w:p w:rsidR="00B90770" w:rsidRDefault="00B90770" w:rsidP="00B90770">
      <w:pPr>
        <w:ind w:left="107" w:right="6" w:firstLine="708"/>
      </w:pPr>
      <w:r>
        <w:t xml:space="preserve">A organização da Conferência é de responsabilidade do Conselho Municipal da Pessoa Idosa, ou de conselhos de uma mesma região, compartilhada com </w:t>
      </w:r>
      <w:proofErr w:type="gramStart"/>
      <w:r>
        <w:t>o(</w:t>
      </w:r>
      <w:proofErr w:type="gramEnd"/>
      <w:r>
        <w:t>as) gestores(as) municipais aos quais os conselhos se vinculam.</w:t>
      </w:r>
    </w:p>
    <w:p w:rsidR="00B90770" w:rsidRDefault="00B90770" w:rsidP="00B90770">
      <w:pPr>
        <w:spacing w:after="377"/>
        <w:ind w:left="107" w:right="6" w:firstLine="708"/>
      </w:pPr>
      <w:r>
        <w:t xml:space="preserve">Na inexistência ou desarticulação do Conselho da Pessoa Idosa, cabe ao gestor municipal a constituição de </w:t>
      </w:r>
      <w:r>
        <w:rPr>
          <w:b/>
          <w:u w:val="single" w:color="000000"/>
        </w:rPr>
        <w:t>um fórum</w:t>
      </w:r>
      <w:r>
        <w:t xml:space="preserve"> para discutir a situação das pessoas idosas no respectivo município.</w:t>
      </w:r>
    </w:p>
    <w:p w:rsidR="00B90770" w:rsidRDefault="00B90770" w:rsidP="00B90770">
      <w:pPr>
        <w:numPr>
          <w:ilvl w:val="0"/>
          <w:numId w:val="3"/>
        </w:numPr>
        <w:spacing w:after="473" w:line="265" w:lineRule="auto"/>
        <w:ind w:right="0" w:hanging="406"/>
      </w:pPr>
      <w:r>
        <w:rPr>
          <w:b/>
        </w:rPr>
        <w:t>DOCUMENTOS BÁSICOS DE DISCUSSÃO</w:t>
      </w:r>
    </w:p>
    <w:p w:rsidR="00B90770" w:rsidRDefault="00B90770" w:rsidP="00B90770">
      <w:pPr>
        <w:numPr>
          <w:ilvl w:val="0"/>
          <w:numId w:val="6"/>
        </w:numPr>
        <w:spacing w:after="99" w:line="259" w:lineRule="auto"/>
        <w:ind w:right="6" w:hanging="258"/>
      </w:pPr>
      <w:r>
        <w:t>Política Nacional do Idoso – Lei nº 8.842/1994.</w:t>
      </w:r>
    </w:p>
    <w:p w:rsidR="00B90770" w:rsidRDefault="00B90770" w:rsidP="00B90770">
      <w:pPr>
        <w:numPr>
          <w:ilvl w:val="0"/>
          <w:numId w:val="6"/>
        </w:numPr>
        <w:spacing w:after="101" w:line="259" w:lineRule="auto"/>
        <w:ind w:right="6" w:hanging="258"/>
      </w:pPr>
      <w:r>
        <w:t>Política Nacional de Saúde da Pessoa Idosa – Portaria MS nº 2.528/2006.</w:t>
      </w:r>
    </w:p>
    <w:p w:rsidR="00B90770" w:rsidRDefault="00B90770" w:rsidP="00B90770">
      <w:pPr>
        <w:numPr>
          <w:ilvl w:val="0"/>
          <w:numId w:val="6"/>
        </w:numPr>
        <w:spacing w:after="99" w:line="259" w:lineRule="auto"/>
        <w:ind w:right="6" w:hanging="258"/>
      </w:pPr>
      <w:r>
        <w:t>Estatuto do Idoso – Lei nº 10.741/2003.</w:t>
      </w:r>
    </w:p>
    <w:p w:rsidR="00B90770" w:rsidRDefault="00B90770" w:rsidP="00B90770">
      <w:pPr>
        <w:numPr>
          <w:ilvl w:val="0"/>
          <w:numId w:val="6"/>
        </w:numPr>
        <w:spacing w:after="492" w:line="241" w:lineRule="auto"/>
        <w:ind w:right="6" w:hanging="258"/>
      </w:pPr>
      <w:r>
        <w:t>Deliberações da V Conferência Estadual, IV Conferência Nacional e das Conferências Municipais ou Regionais.</w:t>
      </w:r>
    </w:p>
    <w:p w:rsidR="00B90770" w:rsidRDefault="00B90770" w:rsidP="00B90770">
      <w:pPr>
        <w:spacing w:after="104" w:line="265" w:lineRule="auto"/>
        <w:ind w:left="117" w:right="0"/>
      </w:pPr>
      <w:r>
        <w:rPr>
          <w:b/>
          <w:i/>
        </w:rPr>
        <w:lastRenderedPageBreak/>
        <w:t>2.1</w:t>
      </w:r>
      <w:r>
        <w:rPr>
          <w:i/>
        </w:rPr>
        <w:t xml:space="preserve"> </w:t>
      </w:r>
      <w:r>
        <w:rPr>
          <w:b/>
        </w:rPr>
        <w:t>Documentos subsidiadores:</w:t>
      </w:r>
      <w:r>
        <w:rPr>
          <w:i/>
        </w:rPr>
        <w:t xml:space="preserve"> </w:t>
      </w:r>
    </w:p>
    <w:p w:rsidR="00B90770" w:rsidRDefault="00B90770" w:rsidP="00B90770">
      <w:pPr>
        <w:spacing w:after="61" w:line="297" w:lineRule="auto"/>
        <w:ind w:left="117" w:right="133"/>
        <w:jc w:val="left"/>
      </w:pPr>
      <w:r>
        <w:rPr>
          <w:b/>
        </w:rPr>
        <w:t>a)</w:t>
      </w:r>
      <w:r>
        <w:t xml:space="preserve"> Relatório Mundial de Envelhecimento e Saúde. Organização Mundial da Saúde (2015) </w:t>
      </w:r>
      <w:hyperlink r:id="rId6">
        <w:r>
          <w:rPr>
            <w:color w:val="0000FF"/>
            <w:u w:val="single" w:color="0000FF"/>
          </w:rPr>
          <w:t>https://sbgg.org.br/oms-divulga-relatorio-sobre-envelhecimento-e-saude/</w:t>
        </w:r>
      </w:hyperlink>
      <w:hyperlink r:id="rId7">
        <w:r>
          <w:t xml:space="preserve"> </w:t>
        </w:r>
      </w:hyperlink>
      <w:r>
        <w:rPr>
          <w:b/>
        </w:rPr>
        <w:t>b)</w:t>
      </w:r>
      <w:r>
        <w:t xml:space="preserve"> Estratégia Brasil Amigo da Pessoa Idosa </w:t>
      </w:r>
      <w:hyperlink r:id="rId8">
        <w:r>
          <w:rPr>
            <w:color w:val="0000FF"/>
            <w:u w:val="single" w:color="0000FF"/>
          </w:rPr>
          <w:t>http://mds.gov.br/area-de-imprensa/noticias/2018/abril/mds-lanca-estrategia-para-levar-qualidade-de-vida</w:t>
        </w:r>
      </w:hyperlink>
      <w:hyperlink r:id="rId9">
        <w:r>
          <w:rPr>
            <w:color w:val="0000FF"/>
            <w:u w:val="single" w:color="0000FF"/>
          </w:rPr>
          <w:t>aos-idosos</w:t>
        </w:r>
      </w:hyperlink>
      <w:hyperlink r:id="rId10">
        <w:r>
          <w:t xml:space="preserve"> </w:t>
        </w:r>
      </w:hyperlink>
    </w:p>
    <w:p w:rsidR="00B90770" w:rsidRDefault="00B90770" w:rsidP="00B90770">
      <w:pPr>
        <w:spacing w:after="437" w:line="297" w:lineRule="auto"/>
        <w:ind w:left="117" w:right="3193"/>
        <w:jc w:val="left"/>
      </w:pPr>
      <w:r>
        <w:rPr>
          <w:b/>
        </w:rPr>
        <w:t>c)</w:t>
      </w:r>
      <w:r>
        <w:t xml:space="preserve"> Plano Nacional dos Direitos Humanos – PNDH3 </w:t>
      </w:r>
      <w:hyperlink r:id="rId11">
        <w:r>
          <w:rPr>
            <w:color w:val="0000FF"/>
            <w:u w:val="single" w:color="0000FF"/>
          </w:rPr>
          <w:t>http://www.pndh3.sdh.gov.br/portal/sistema/sobre-o-pndh3</w:t>
        </w:r>
      </w:hyperlink>
      <w:hyperlink r:id="rId12">
        <w:r>
          <w:t xml:space="preserve"> </w:t>
        </w:r>
      </w:hyperlink>
      <w:r>
        <w:rPr>
          <w:b/>
        </w:rPr>
        <w:t>d)</w:t>
      </w:r>
      <w:r>
        <w:t xml:space="preserve"> Plano Internacional sobre o Envelhecimento. </w:t>
      </w:r>
      <w:hyperlink r:id="rId13">
        <w:r>
          <w:rPr>
            <w:color w:val="0000FF"/>
            <w:u w:val="single" w:color="0000FF"/>
          </w:rPr>
          <w:t>http://www.observatorionacionaldoidoso.fiocruz.br/biblioteca/_manual/5.pdf</w:t>
        </w:r>
      </w:hyperlink>
      <w:hyperlink r:id="rId14">
        <w:r>
          <w:t xml:space="preserve"> </w:t>
        </w:r>
      </w:hyperlink>
    </w:p>
    <w:p w:rsidR="00B90770" w:rsidRDefault="00B90770" w:rsidP="00B90770">
      <w:pPr>
        <w:spacing w:after="479" w:line="265" w:lineRule="auto"/>
        <w:ind w:left="117" w:right="0"/>
      </w:pPr>
      <w:r>
        <w:rPr>
          <w:b/>
        </w:rPr>
        <w:t>2.2 Textos subsidiadores: (ANEXO 4)</w:t>
      </w:r>
    </w:p>
    <w:p w:rsidR="00B90770" w:rsidRDefault="00B90770" w:rsidP="00B90770">
      <w:pPr>
        <w:numPr>
          <w:ilvl w:val="0"/>
          <w:numId w:val="7"/>
        </w:numPr>
        <w:spacing w:after="104" w:line="265" w:lineRule="auto"/>
        <w:ind w:right="0" w:hanging="184"/>
      </w:pPr>
      <w:r>
        <w:rPr>
          <w:b/>
        </w:rPr>
        <w:t>CONSIDERAÇÕES GERAIS</w:t>
      </w:r>
    </w:p>
    <w:p w:rsidR="00B90770" w:rsidRDefault="00B90770" w:rsidP="00B90770">
      <w:pPr>
        <w:ind w:left="107" w:right="6" w:firstLine="708"/>
      </w:pPr>
      <w:r>
        <w:t>Considerando que a população brasileira está vivendo mais, há de se tornar digno o envelhecimento e as condições do envelhecer, em todas as fases da vida. Essa dignidade é garantida, na medida em que forem assegurados os direitos fundamentais a cada um dos indivíduos que envelhece. Para tanto, requer que o Estado garanta às pessoas em todas as fases de suas vidas e às pessoas idosas em especial, bem como às suas famílias, ações e serviços capazes de efetivar os direitos de promoção, proteção e defesa.</w:t>
      </w:r>
    </w:p>
    <w:p w:rsidR="00B90770" w:rsidRDefault="00B90770" w:rsidP="00B90770">
      <w:pPr>
        <w:ind w:left="107" w:right="6" w:firstLine="708"/>
      </w:pPr>
      <w:r>
        <w:t>Para o alcance dos objetivos de uma Conferência Municipal, é importante que todos os participantes conheçam:</w:t>
      </w:r>
    </w:p>
    <w:p w:rsidR="00B90770" w:rsidRDefault="00B90770" w:rsidP="00B90770">
      <w:pPr>
        <w:numPr>
          <w:ilvl w:val="4"/>
          <w:numId w:val="8"/>
        </w:numPr>
        <w:spacing w:after="107" w:line="259" w:lineRule="auto"/>
        <w:ind w:right="6" w:hanging="360"/>
      </w:pPr>
      <w:r>
        <w:t>A legislação pertinente às pessoas idosas;</w:t>
      </w:r>
    </w:p>
    <w:p w:rsidR="00B90770" w:rsidRDefault="00B90770" w:rsidP="00B90770">
      <w:pPr>
        <w:numPr>
          <w:ilvl w:val="4"/>
          <w:numId w:val="8"/>
        </w:numPr>
        <w:spacing w:after="107" w:line="259" w:lineRule="auto"/>
        <w:ind w:right="6" w:hanging="360"/>
      </w:pPr>
      <w:r>
        <w:t>O perfil das condições de vida da população idosa do seu município;</w:t>
      </w:r>
    </w:p>
    <w:p w:rsidR="00B90770" w:rsidRDefault="00B90770" w:rsidP="00B90770">
      <w:pPr>
        <w:numPr>
          <w:ilvl w:val="4"/>
          <w:numId w:val="8"/>
        </w:numPr>
        <w:ind w:right="6" w:hanging="360"/>
      </w:pPr>
      <w:r>
        <w:t>As instituições públicas e privadas que atuam no sentido de promover, proteger e defender os direitos da pessoa idosa, bem como seus programas, projetos, ações e serviços;</w:t>
      </w:r>
    </w:p>
    <w:p w:rsidR="00B90770" w:rsidRDefault="00B90770" w:rsidP="00B90770">
      <w:pPr>
        <w:numPr>
          <w:ilvl w:val="4"/>
          <w:numId w:val="8"/>
        </w:numPr>
        <w:spacing w:after="377"/>
        <w:ind w:right="6" w:hanging="360"/>
      </w:pPr>
      <w:r>
        <w:t>Os mecanismos (CMI, Conferências, etc.) e instrumentos (Planos Plurianuais, Planos de Ação, Orçamentos e Fundos) de gestão e de controle social.</w:t>
      </w:r>
    </w:p>
    <w:p w:rsidR="00B90770" w:rsidRDefault="00B90770" w:rsidP="00B90770">
      <w:pPr>
        <w:ind w:left="107" w:right="6" w:firstLine="708"/>
      </w:pPr>
      <w:r>
        <w:t xml:space="preserve">Ainda, é importante lembrar que a Conferência não termina com a sua realização propriamente dita. É aí que ela inicia, uma vez que nesse espaço se avalia a execução das ações da Política Municipal da Pessoa Idosa, bem como são apontadas novas demandas e prioridades que precisam ser incorporadas pelo Governo nas três esferas e materializadas no Plano Municipal de Atenção à Pessoa Idosa, com suas respectivas metas e recursos financeiros alocados. Este Plano elaborado pelo Governo com a participação e parceria de instituições não </w:t>
      </w:r>
      <w:r>
        <w:lastRenderedPageBreak/>
        <w:t xml:space="preserve">governamentais deve ser apreciado e aprovado pelo Conselho Municipal da Pessoa Idosa, bem como acompanhado e fiscalizado na sua execução. </w:t>
      </w:r>
    </w:p>
    <w:p w:rsidR="00B90770" w:rsidRDefault="00B90770" w:rsidP="00B90770">
      <w:pPr>
        <w:spacing w:after="377"/>
        <w:ind w:left="107" w:right="6" w:firstLine="708"/>
      </w:pPr>
      <w:r>
        <w:t>Vale lembrar que o grande desafio posto é fazer com que as deliberações apontadas, a partir das demandas da população, sejam incorporadas nas agendas do Governo. Entretanto, é responsabilidade de todos os atores envolvidos dar sua contribuição para que essas deliberações sejam transformadas em ações, serviços, programas e projetos, visando melhor qualidade de vida da população.</w:t>
      </w:r>
    </w:p>
    <w:p w:rsidR="00B90770" w:rsidRDefault="00B90770" w:rsidP="00B90770">
      <w:pPr>
        <w:numPr>
          <w:ilvl w:val="0"/>
          <w:numId w:val="7"/>
        </w:numPr>
        <w:spacing w:after="104" w:line="265" w:lineRule="auto"/>
        <w:ind w:right="0" w:hanging="184"/>
      </w:pPr>
      <w:r>
        <w:rPr>
          <w:b/>
        </w:rPr>
        <w:t>PÚBLICO DAS CONFERÊNCIAS</w:t>
      </w:r>
    </w:p>
    <w:p w:rsidR="00B90770" w:rsidRDefault="00B90770" w:rsidP="00B90770">
      <w:pPr>
        <w:spacing w:after="377"/>
        <w:ind w:left="107" w:right="6" w:firstLine="708"/>
      </w:pPr>
      <w:r>
        <w:t>Todas as pessoas</w:t>
      </w:r>
      <w:r>
        <w:rPr>
          <w:b/>
        </w:rPr>
        <w:t xml:space="preserve"> </w:t>
      </w:r>
      <w:r>
        <w:t xml:space="preserve">interessadas em participar da Conferência Municipal serão </w:t>
      </w:r>
      <w:proofErr w:type="gramStart"/>
      <w:r>
        <w:t>delegados(</w:t>
      </w:r>
      <w:proofErr w:type="gramEnd"/>
      <w:r>
        <w:t xml:space="preserve">as) com direito a voz e voto, desde que tenham se registrado/inscrito para participar da conferência, em local e hora determinado pelo regimento interno. </w:t>
      </w:r>
    </w:p>
    <w:p w:rsidR="00B90770" w:rsidRDefault="00B90770" w:rsidP="00B90770">
      <w:pPr>
        <w:spacing w:after="104" w:line="265" w:lineRule="auto"/>
        <w:ind w:left="117" w:right="0"/>
      </w:pPr>
      <w:r>
        <w:rPr>
          <w:b/>
        </w:rPr>
        <w:t xml:space="preserve">4.1 </w:t>
      </w:r>
      <w:proofErr w:type="gramStart"/>
      <w:r>
        <w:rPr>
          <w:b/>
        </w:rPr>
        <w:t>Delegados(</w:t>
      </w:r>
      <w:proofErr w:type="gramEnd"/>
      <w:r>
        <w:rPr>
          <w:b/>
        </w:rPr>
        <w:t>as)</w:t>
      </w:r>
    </w:p>
    <w:p w:rsidR="00B90770" w:rsidRDefault="00B90770" w:rsidP="00B90770">
      <w:pPr>
        <w:spacing w:after="105" w:line="259" w:lineRule="auto"/>
        <w:ind w:left="840" w:right="6"/>
      </w:pPr>
      <w:r>
        <w:t xml:space="preserve">O conjunto </w:t>
      </w:r>
      <w:proofErr w:type="gramStart"/>
      <w:r>
        <w:t>dos(</w:t>
      </w:r>
      <w:proofErr w:type="gramEnd"/>
      <w:r>
        <w:t>das) Delegados(das) à Conferência Regional em Inhumas será composto por:</w:t>
      </w:r>
    </w:p>
    <w:p w:rsidR="00B90770" w:rsidRDefault="00B90770" w:rsidP="00B90770">
      <w:pPr>
        <w:numPr>
          <w:ilvl w:val="3"/>
          <w:numId w:val="9"/>
        </w:numPr>
        <w:spacing w:after="109" w:line="259" w:lineRule="auto"/>
        <w:ind w:right="6" w:hanging="360"/>
      </w:pPr>
      <w:r>
        <w:t>Membros do Conselho Municipal da Pessoa Idosa.</w:t>
      </w:r>
    </w:p>
    <w:p w:rsidR="00B90770" w:rsidRDefault="00B90770" w:rsidP="00B90770">
      <w:pPr>
        <w:numPr>
          <w:ilvl w:val="3"/>
          <w:numId w:val="9"/>
        </w:numPr>
        <w:spacing w:after="107" w:line="259" w:lineRule="auto"/>
        <w:ind w:right="6" w:hanging="360"/>
      </w:pPr>
      <w:r>
        <w:t>Membros designados pelos órgãos governamentais, mediante ofício.</w:t>
      </w:r>
    </w:p>
    <w:p w:rsidR="00B90770" w:rsidRDefault="00B90770" w:rsidP="00B90770">
      <w:pPr>
        <w:numPr>
          <w:ilvl w:val="3"/>
          <w:numId w:val="9"/>
        </w:numPr>
        <w:spacing w:after="111" w:line="259" w:lineRule="auto"/>
        <w:ind w:right="6" w:hanging="360"/>
      </w:pPr>
      <w:r>
        <w:t>Membros indicados, por ofício, pelas instituições da sociedade civil.</w:t>
      </w:r>
    </w:p>
    <w:p w:rsidR="00B90770" w:rsidRDefault="00B90770" w:rsidP="00B90770">
      <w:pPr>
        <w:numPr>
          <w:ilvl w:val="3"/>
          <w:numId w:val="9"/>
        </w:numPr>
        <w:spacing w:after="393"/>
        <w:ind w:right="6" w:hanging="360"/>
      </w:pPr>
      <w:r>
        <w:t>Pessoas idosas.</w:t>
      </w:r>
    </w:p>
    <w:p w:rsidR="00B90770" w:rsidRDefault="00B90770" w:rsidP="00B90770">
      <w:pPr>
        <w:spacing w:after="35"/>
        <w:ind w:left="117" w:right="6"/>
      </w:pPr>
      <w:r>
        <w:rPr>
          <w:b/>
        </w:rPr>
        <w:t>Observação:</w:t>
      </w:r>
      <w:r>
        <w:t xml:space="preserve"> A escolha dos delegados da sociedade civil para a Conferência Municipal deverá assegurar a participação de:</w:t>
      </w:r>
    </w:p>
    <w:p w:rsidR="00B90770" w:rsidRDefault="00B90770" w:rsidP="00B90770">
      <w:pPr>
        <w:numPr>
          <w:ilvl w:val="1"/>
          <w:numId w:val="7"/>
        </w:numPr>
        <w:spacing w:after="119" w:line="259" w:lineRule="auto"/>
        <w:ind w:right="6" w:hanging="360"/>
      </w:pPr>
      <w:r>
        <w:t>Representantes de usuários (grupos de pessoas idosas e associações de aposentados).</w:t>
      </w:r>
    </w:p>
    <w:p w:rsidR="00B90770" w:rsidRDefault="00B90770" w:rsidP="00B90770">
      <w:pPr>
        <w:numPr>
          <w:ilvl w:val="1"/>
          <w:numId w:val="7"/>
        </w:numPr>
        <w:spacing w:after="34"/>
        <w:ind w:right="6" w:hanging="360"/>
      </w:pPr>
      <w:r>
        <w:t xml:space="preserve">Representantes de prestadores de serviços (instituições de longa permanência, clubes, </w:t>
      </w:r>
      <w:proofErr w:type="spellStart"/>
      <w:r>
        <w:t>Emater</w:t>
      </w:r>
      <w:proofErr w:type="spellEnd"/>
      <w:r>
        <w:t>, Sesc, etc.).</w:t>
      </w:r>
    </w:p>
    <w:p w:rsidR="00B90770" w:rsidRDefault="00B90770" w:rsidP="00B90770">
      <w:pPr>
        <w:numPr>
          <w:ilvl w:val="1"/>
          <w:numId w:val="7"/>
        </w:numPr>
        <w:spacing w:after="367"/>
        <w:ind w:right="6" w:hanging="360"/>
      </w:pPr>
      <w:r>
        <w:t>Representantes de profissionais da área, instituições científicas e de ensino superior.</w:t>
      </w:r>
    </w:p>
    <w:p w:rsidR="00B90770" w:rsidRDefault="00B90770" w:rsidP="00B90770">
      <w:pPr>
        <w:numPr>
          <w:ilvl w:val="0"/>
          <w:numId w:val="7"/>
        </w:numPr>
        <w:spacing w:after="104" w:line="265" w:lineRule="auto"/>
        <w:ind w:right="0" w:hanging="184"/>
      </w:pPr>
      <w:r>
        <w:rPr>
          <w:b/>
        </w:rPr>
        <w:t>OPERACIONALIZAÇÃO</w:t>
      </w:r>
    </w:p>
    <w:p w:rsidR="00B90770" w:rsidRDefault="00B90770" w:rsidP="00B90770">
      <w:pPr>
        <w:ind w:left="107" w:right="6" w:firstLine="708"/>
      </w:pPr>
      <w:r>
        <w:t xml:space="preserve">A decisão de realização da Conferência Municipal ou Regional é tomada mediante deliberação da plenária e publicação de </w:t>
      </w:r>
      <w:r>
        <w:rPr>
          <w:b/>
        </w:rPr>
        <w:t>Resolução expedida pelo Conselho da Pessoa Idosa (ANEXO I)</w:t>
      </w:r>
      <w:r>
        <w:t xml:space="preserve">. </w:t>
      </w:r>
    </w:p>
    <w:p w:rsidR="00B90770" w:rsidRDefault="00B90770" w:rsidP="00B90770">
      <w:pPr>
        <w:ind w:left="107" w:right="6" w:firstLine="708"/>
      </w:pPr>
      <w:r>
        <w:t xml:space="preserve">No caso das Conferências Regionais </w:t>
      </w:r>
      <w:proofErr w:type="gramStart"/>
      <w:r>
        <w:t>o(</w:t>
      </w:r>
      <w:proofErr w:type="gramEnd"/>
      <w:r>
        <w:t xml:space="preserve">a) Presidente de cada Conselho Municipal da Pessoa Idosa deverá assinar Resolução Conjunta. </w:t>
      </w:r>
    </w:p>
    <w:p w:rsidR="00B90770" w:rsidRDefault="00B90770" w:rsidP="00B90770">
      <w:pPr>
        <w:spacing w:after="1" w:line="360" w:lineRule="auto"/>
        <w:ind w:left="107" w:right="0" w:firstLine="708"/>
      </w:pPr>
      <w:r>
        <w:t xml:space="preserve">Após a publicação da Resolução que decide pela realização da modalidade de Conferência, </w:t>
      </w:r>
      <w:r>
        <w:rPr>
          <w:b/>
        </w:rPr>
        <w:t xml:space="preserve">definindo data, hora, local, tema e objetivo, </w:t>
      </w:r>
      <w:r>
        <w:t xml:space="preserve">deve ser constituída a Comissão Organizadora que </w:t>
      </w:r>
      <w:r>
        <w:rPr>
          <w:b/>
        </w:rPr>
        <w:t xml:space="preserve">elaborará o projeto com a respectiva planilha de necessidades de </w:t>
      </w:r>
      <w:r>
        <w:rPr>
          <w:b/>
        </w:rPr>
        <w:lastRenderedPageBreak/>
        <w:t xml:space="preserve">recursos humanos, materiais e financeiros </w:t>
      </w:r>
      <w:r>
        <w:t xml:space="preserve">a ser encaminhado ao Órgão ao qual o Conselho está vinculado. </w:t>
      </w:r>
      <w:r>
        <w:rPr>
          <w:b/>
        </w:rPr>
        <w:t>O Chefe do Poder Executivo deverá ratificar a realização da Conferência através de ato administrativo.</w:t>
      </w:r>
    </w:p>
    <w:p w:rsidR="00B90770" w:rsidRDefault="00B90770" w:rsidP="00B90770">
      <w:pPr>
        <w:ind w:left="107" w:right="6" w:firstLine="708"/>
      </w:pPr>
      <w:r>
        <w:rPr>
          <w:b/>
        </w:rPr>
        <w:t xml:space="preserve"> </w:t>
      </w:r>
      <w:r>
        <w:t xml:space="preserve">No caso das Conferências Regionais, a Comissão Organizadora deverá ser composta por pelo menos um membro de cada Conselho Municipal participante e o ato do Chefe do Poder Executivo que ratifica a realização da Conferência Regionalizada deverá ser promulgado pela Prefeitura que a sediará. </w:t>
      </w:r>
    </w:p>
    <w:p w:rsidR="00B90770" w:rsidRDefault="00B90770" w:rsidP="00B90770">
      <w:pPr>
        <w:ind w:left="107" w:right="6" w:firstLine="708"/>
      </w:pPr>
      <w:r>
        <w:t>Ainda, para o caso de realização de Conferência Regional, a Comissão Organizadora deverá contar com a participação de representantes de todos os municípios envolvidos, cabendo ao município anfitrião, definir o local e oferecer a infraestrutura necessária.</w:t>
      </w:r>
    </w:p>
    <w:p w:rsidR="00B90770" w:rsidRDefault="00B90770" w:rsidP="00B90770">
      <w:pPr>
        <w:ind w:left="107" w:right="6" w:firstLine="708"/>
      </w:pPr>
      <w:r>
        <w:t>É importante salientar que os municípios participantes de uma Conferência Regional devem individualmente garantir, minimamente, a representação dos diferentes segmentos envolvidos com o atendimento as pessoas idosas.</w:t>
      </w:r>
    </w:p>
    <w:p w:rsidR="00B90770" w:rsidRDefault="00B90770" w:rsidP="00B90770">
      <w:pPr>
        <w:ind w:left="107" w:right="6" w:firstLine="708"/>
      </w:pPr>
      <w:r>
        <w:t xml:space="preserve">A Conferência poderá ser precedida de </w:t>
      </w:r>
      <w:proofErr w:type="spellStart"/>
      <w:r>
        <w:t>pré</w:t>
      </w:r>
      <w:proofErr w:type="spellEnd"/>
      <w:r>
        <w:t>-conferências, ou eventos temáticos, ou encontros, etc., como estratégia para ampliar a discussão e participação popular, e eleger representantes para serem delegados na Conferência Municipal ou Regional.</w:t>
      </w:r>
    </w:p>
    <w:p w:rsidR="00B90770" w:rsidRDefault="00B90770" w:rsidP="00B90770">
      <w:pPr>
        <w:ind w:left="107" w:right="6" w:firstLine="708"/>
      </w:pPr>
      <w:r>
        <w:t xml:space="preserve">À Comissão Organizadora caberá ainda definir as </w:t>
      </w:r>
      <w:r>
        <w:rPr>
          <w:b/>
        </w:rPr>
        <w:t xml:space="preserve">subcomissões necessárias para assegurar o bom andamento dos trabalhos na Conferência, tais como: divulgação, recepção, logística, administrativa, sistematização, dentre outras, </w:t>
      </w:r>
      <w:r>
        <w:t xml:space="preserve">assim como o envolvimento de um maior número possível de representantes institucionais e de segmentos. A função principal dessa Comissão é fazer a coordenação geral do evento, definindo os critérios e condições de sua realização através de </w:t>
      </w:r>
      <w:r>
        <w:rPr>
          <w:b/>
        </w:rPr>
        <w:t xml:space="preserve">inscrição e credenciamento de </w:t>
      </w:r>
      <w:proofErr w:type="gramStart"/>
      <w:r>
        <w:rPr>
          <w:b/>
        </w:rPr>
        <w:t>delegados(</w:t>
      </w:r>
      <w:proofErr w:type="gramEnd"/>
      <w:r>
        <w:rPr>
          <w:b/>
        </w:rPr>
        <w:t>as)</w:t>
      </w:r>
      <w:r>
        <w:t xml:space="preserve">, </w:t>
      </w:r>
      <w:r>
        <w:rPr>
          <w:b/>
        </w:rPr>
        <w:t>metodologia</w:t>
      </w:r>
      <w:r>
        <w:t xml:space="preserve">, </w:t>
      </w:r>
      <w:r>
        <w:rPr>
          <w:b/>
        </w:rPr>
        <w:t>programação,</w:t>
      </w:r>
      <w:r>
        <w:t xml:space="preserve"> </w:t>
      </w:r>
      <w:r>
        <w:rPr>
          <w:b/>
        </w:rPr>
        <w:t>regimento interno (ANEXO II), etc.</w:t>
      </w:r>
    </w:p>
    <w:p w:rsidR="00B90770" w:rsidRDefault="00B90770" w:rsidP="00B90770">
      <w:pPr>
        <w:ind w:left="107" w:right="6" w:firstLine="708"/>
      </w:pPr>
      <w:r>
        <w:t>Ainda, cada Conferência Municipal ou Regional terá sua especificidade definida, de acordo com as condições existentes, na respectiva esfera de Governo. No entanto, é necessário que haja um desenvolvimento metodológico básico centrado na seguinte dinâmica:</w:t>
      </w:r>
    </w:p>
    <w:p w:rsidR="00B90770" w:rsidRDefault="00B90770" w:rsidP="00B90770">
      <w:pPr>
        <w:numPr>
          <w:ilvl w:val="0"/>
          <w:numId w:val="10"/>
        </w:numPr>
        <w:ind w:right="6" w:hanging="360"/>
      </w:pPr>
      <w:r>
        <w:rPr>
          <w:b/>
        </w:rPr>
        <w:t>Inscrição dos participantes e credenciamento dos Delegados(as)</w:t>
      </w:r>
      <w:r>
        <w:t xml:space="preserve"> que devem representar os segmentos governamentais e não governamentais, atentando para que nesta representação estejam os prestadores de serviços às pessoas idosas; as instituições técnico-científicas dedicadas ao envelhecimento; instituições de ensino superior que desenvolvam programas voltados às pessoas idosas; as instituições que congregam profissionais que atuam junto às pessoas idosas e, especialmente, as próprias pessoas idosas organizadas em associações e/ou movimentos sociais</w:t>
      </w:r>
    </w:p>
    <w:p w:rsidR="00B90770" w:rsidRDefault="00B90770" w:rsidP="00B90770">
      <w:pPr>
        <w:numPr>
          <w:ilvl w:val="0"/>
          <w:numId w:val="10"/>
        </w:numPr>
        <w:ind w:right="6" w:hanging="360"/>
      </w:pPr>
      <w:r>
        <w:rPr>
          <w:b/>
        </w:rPr>
        <w:t>Palestras ou Painéis expositivos</w:t>
      </w:r>
      <w:r>
        <w:t xml:space="preserve"> que abordem o tema e os eixos propostos para a Conferência, integrados por profissionais com domínio e conhecimento da temática. As palestras ou painéis deverão contemplar um tempo de debate dos participantes com os palestrantes, já que este é o momento de consolidar compreensão e conhecimento.</w:t>
      </w:r>
    </w:p>
    <w:p w:rsidR="00B90770" w:rsidRDefault="00B90770" w:rsidP="00B90770">
      <w:pPr>
        <w:numPr>
          <w:ilvl w:val="0"/>
          <w:numId w:val="10"/>
        </w:numPr>
        <w:ind w:right="6" w:hanging="360"/>
      </w:pPr>
      <w:r>
        <w:rPr>
          <w:b/>
        </w:rPr>
        <w:lastRenderedPageBreak/>
        <w:t>Grupos de trabalho</w:t>
      </w:r>
      <w:r>
        <w:t xml:space="preserve"> para discutir e aprofundar a avaliação dos avanços e desafios da implementação das deliberações da última Conferência, reiterando e redefinindo as prioridades, à luz dos conteúdos apresentados pelos palestrantes.</w:t>
      </w:r>
    </w:p>
    <w:p w:rsidR="00B90770" w:rsidRDefault="00B90770" w:rsidP="00B90770">
      <w:pPr>
        <w:numPr>
          <w:ilvl w:val="0"/>
          <w:numId w:val="10"/>
        </w:numPr>
        <w:ind w:right="6" w:hanging="360"/>
      </w:pPr>
      <w:r>
        <w:rPr>
          <w:b/>
        </w:rPr>
        <w:t>No caso de uma Conferência Regional</w:t>
      </w:r>
      <w:r>
        <w:t>, os grupos de trabalho deverão ser organizados por município, para que se tenha uma definição de prioridades locais.</w:t>
      </w:r>
    </w:p>
    <w:p w:rsidR="00B90770" w:rsidRDefault="00B90770" w:rsidP="00B90770">
      <w:pPr>
        <w:numPr>
          <w:ilvl w:val="0"/>
          <w:numId w:val="10"/>
        </w:numPr>
        <w:ind w:right="6" w:hanging="360"/>
      </w:pPr>
      <w:r>
        <w:rPr>
          <w:b/>
        </w:rPr>
        <w:t>Após a realização da Conferência</w:t>
      </w:r>
      <w:r>
        <w:t xml:space="preserve">, o município ou a região terão o prazo de </w:t>
      </w:r>
      <w:r>
        <w:rPr>
          <w:b/>
        </w:rPr>
        <w:t>até 15 dias</w:t>
      </w:r>
      <w:r>
        <w:t xml:space="preserve"> para a entrega das deliberações ao CEI-RS. O envio</w:t>
      </w:r>
      <w:r>
        <w:rPr>
          <w:b/>
        </w:rPr>
        <w:t xml:space="preserve"> do Relatório Final (ANEXO III) </w:t>
      </w:r>
      <w:r>
        <w:t>deverá ser feito EXCLUSIVAMENTE por meio eletrônico, em formato Word (doc.), para o e-mail</w:t>
      </w:r>
      <w:r>
        <w:rPr>
          <w:b/>
        </w:rPr>
        <w:t xml:space="preserve">: </w:t>
      </w:r>
      <w:r>
        <w:rPr>
          <w:color w:val="0000FF"/>
          <w:u w:val="single" w:color="0000FF"/>
        </w:rPr>
        <w:t>conferenciapessoaidosars6@hotmail.com</w:t>
      </w:r>
      <w:r>
        <w:t xml:space="preserve"> acompanhado de </w:t>
      </w:r>
      <w:r>
        <w:rPr>
          <w:b/>
        </w:rPr>
        <w:t>ofício assinado</w:t>
      </w:r>
      <w:r>
        <w:t xml:space="preserve"> </w:t>
      </w:r>
      <w:proofErr w:type="gramStart"/>
      <w:r>
        <w:t>pelo(</w:t>
      </w:r>
      <w:proofErr w:type="gramEnd"/>
      <w:r>
        <w:t xml:space="preserve">pela) Presidente do Conselho Municipal ou da Comissão Organizadora Regional endereçado à Comissão Organizadora da VI Conferência Estadual da Pessoa Idosa. </w:t>
      </w:r>
    </w:p>
    <w:p w:rsidR="00B90770" w:rsidRDefault="00B90770" w:rsidP="00B90770">
      <w:pPr>
        <w:numPr>
          <w:ilvl w:val="0"/>
          <w:numId w:val="10"/>
        </w:numPr>
        <w:ind w:right="6" w:hanging="360"/>
      </w:pPr>
      <w:r>
        <w:rPr>
          <w:b/>
        </w:rPr>
        <w:t>O relatório final da Conferência Regional</w:t>
      </w:r>
      <w:r>
        <w:t xml:space="preserve"> será o somatório dos relatórios de cada município participante, sendo de responsabilidade do município anfitrião o envio do documento final à Comissão Organizadora da VI Conferência Estadual da Pessoa Idosa.</w:t>
      </w:r>
    </w:p>
    <w:p w:rsidR="00B90770" w:rsidRDefault="00B90770" w:rsidP="00B90770">
      <w:pPr>
        <w:numPr>
          <w:ilvl w:val="0"/>
          <w:numId w:val="10"/>
        </w:numPr>
        <w:ind w:right="6" w:hanging="360"/>
      </w:pPr>
      <w:r>
        <w:rPr>
          <w:b/>
        </w:rPr>
        <w:t>Cada grupo de trabalho terá um tempo para discussão</w:t>
      </w:r>
      <w:r>
        <w:t xml:space="preserve"> e, ao final, deverá entregar à Comissão de Sistematização o seu Relatório, contendo as deliberações, as quais comporão o documento que será discutido e aprovado na Plenária Final;</w:t>
      </w:r>
    </w:p>
    <w:p w:rsidR="00B90770" w:rsidRDefault="00B90770" w:rsidP="00B90770">
      <w:pPr>
        <w:numPr>
          <w:ilvl w:val="0"/>
          <w:numId w:val="10"/>
        </w:numPr>
        <w:ind w:right="6" w:hanging="360"/>
      </w:pPr>
      <w:r>
        <w:rPr>
          <w:b/>
        </w:rPr>
        <w:t xml:space="preserve">Plenária Final com conclusões, propostas e moções a serem pactuadas e aprovadas </w:t>
      </w:r>
      <w:proofErr w:type="gramStart"/>
      <w:r>
        <w:rPr>
          <w:b/>
        </w:rPr>
        <w:t>pelos(</w:t>
      </w:r>
      <w:proofErr w:type="gramEnd"/>
      <w:r>
        <w:rPr>
          <w:b/>
        </w:rPr>
        <w:t>pelas) Delegados(das) credenciados(as) e presentes:</w:t>
      </w:r>
      <w:r>
        <w:t xml:space="preserve"> As propostas, ou seja, as deliberações da Plenária Final correspondem às prioridades de ações de atendimento à pessoa idosa, na respectiva instância municipal, estadual, distrital ou nacional. Constituem-se também, em indicativos para a política da esfera imediatamente acima daquela que realiza a Conferência. Dos 4 (quatro) eixos discutidos pelos grupos, a plenária final deverá eleger </w:t>
      </w:r>
      <w:r>
        <w:rPr>
          <w:b/>
        </w:rPr>
        <w:t xml:space="preserve">somente 05 (cinco) deliberações </w:t>
      </w:r>
      <w:r>
        <w:t>a serem incluídas no relatório final e encaminhadas à comissão organizadora, conforme item 6.</w:t>
      </w:r>
    </w:p>
    <w:p w:rsidR="00B90770" w:rsidRDefault="00B90770" w:rsidP="00B90770">
      <w:pPr>
        <w:numPr>
          <w:ilvl w:val="0"/>
          <w:numId w:val="10"/>
        </w:numPr>
        <w:spacing w:after="238" w:line="259" w:lineRule="auto"/>
        <w:ind w:right="6" w:hanging="360"/>
      </w:pPr>
      <w:r>
        <w:rPr>
          <w:b/>
        </w:rPr>
        <w:t xml:space="preserve">Eleição </w:t>
      </w:r>
      <w:proofErr w:type="gramStart"/>
      <w:r>
        <w:rPr>
          <w:b/>
        </w:rPr>
        <w:t>dos(</w:t>
      </w:r>
      <w:proofErr w:type="gramEnd"/>
      <w:r>
        <w:rPr>
          <w:b/>
        </w:rPr>
        <w:t>das) delegados(das) para a Conferência Estadual da Pessoa Idosa</w:t>
      </w:r>
      <w:r>
        <w:t xml:space="preserve"> quando realizada na instância Regional, deverá eleger o mesmo número de delegados definidos para as Conferências Municipais, conforme segue.</w:t>
      </w:r>
    </w:p>
    <w:tbl>
      <w:tblPr>
        <w:tblStyle w:val="TableGrid"/>
        <w:tblW w:w="7022" w:type="dxa"/>
        <w:tblInd w:w="1480" w:type="dxa"/>
        <w:tblCellMar>
          <w:top w:w="11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96"/>
        <w:gridCol w:w="3926"/>
      </w:tblGrid>
      <w:tr w:rsidR="00B90770" w:rsidTr="00F17168">
        <w:trPr>
          <w:trHeight w:val="262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Municípios/população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Nº de delegados por município</w:t>
            </w:r>
          </w:p>
        </w:tc>
      </w:tr>
      <w:tr w:rsidR="00B90770" w:rsidTr="00F17168">
        <w:trPr>
          <w:trHeight w:val="264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t>Até 50.000 habitantes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</w:p>
        </w:tc>
      </w:tr>
      <w:tr w:rsidR="00B90770" w:rsidTr="00F17168">
        <w:trPr>
          <w:trHeight w:val="262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t>Até 100.000 habitantes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t>4</w:t>
            </w:r>
          </w:p>
        </w:tc>
      </w:tr>
      <w:tr w:rsidR="00B90770" w:rsidTr="00F17168">
        <w:trPr>
          <w:trHeight w:val="264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t>Até 200.000 habitantes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t>6</w:t>
            </w:r>
          </w:p>
        </w:tc>
      </w:tr>
      <w:tr w:rsidR="00B90770" w:rsidTr="00F17168">
        <w:trPr>
          <w:trHeight w:val="262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t>Mais de 200.000 habitantes</w:t>
            </w:r>
          </w:p>
        </w:tc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70" w:rsidRDefault="00B90770" w:rsidP="00F17168">
            <w:pPr>
              <w:spacing w:after="0" w:line="259" w:lineRule="auto"/>
              <w:ind w:left="0" w:right="0" w:firstLine="0"/>
              <w:jc w:val="left"/>
            </w:pPr>
            <w:r>
              <w:t>8</w:t>
            </w:r>
          </w:p>
        </w:tc>
      </w:tr>
    </w:tbl>
    <w:p w:rsidR="00B90770" w:rsidRDefault="00B90770" w:rsidP="00B90770">
      <w:pPr>
        <w:ind w:left="117" w:right="6"/>
      </w:pPr>
      <w:r>
        <w:t>*Ex: Em uma Conferência Regional composta por 4 municípios no porte de até 50 mil habitantes, cada um dos municípios elegerá 2 delegados para a Conferência Estadual.</w:t>
      </w:r>
    </w:p>
    <w:p w:rsidR="00B90770" w:rsidRDefault="00B90770" w:rsidP="00B90770">
      <w:pPr>
        <w:ind w:left="117" w:right="6"/>
      </w:pPr>
      <w:r>
        <w:t xml:space="preserve">** A escolha </w:t>
      </w:r>
      <w:proofErr w:type="gramStart"/>
      <w:r>
        <w:t>dos(</w:t>
      </w:r>
      <w:proofErr w:type="gramEnd"/>
      <w:r>
        <w:t>das) Delegados(das) deve contemplar, na medida do possível, a representatividade dos segmentos mencionados no item 4.1 e, ainda, a paridade entre governamentais e sociedade civil.</w:t>
      </w:r>
      <w:bookmarkStart w:id="0" w:name="_GoBack"/>
      <w:bookmarkEnd w:id="0"/>
      <w:r>
        <w:t>*** Deverá ser escolhido sempre um titular e um suplente.</w:t>
      </w:r>
    </w:p>
    <w:p w:rsidR="00B90770" w:rsidRDefault="00B90770" w:rsidP="00B90770">
      <w:pPr>
        <w:spacing w:after="104" w:line="265" w:lineRule="auto"/>
        <w:ind w:left="117" w:right="0"/>
        <w:rPr>
          <w:b/>
        </w:rPr>
      </w:pPr>
    </w:p>
    <w:p w:rsidR="00B90770" w:rsidRDefault="00B90770" w:rsidP="00B90770">
      <w:pPr>
        <w:spacing w:after="104" w:line="265" w:lineRule="auto"/>
        <w:ind w:left="117" w:right="0"/>
        <w:rPr>
          <w:b/>
        </w:rPr>
      </w:pPr>
    </w:p>
    <w:p w:rsidR="00B90770" w:rsidRDefault="00B90770" w:rsidP="00B90770">
      <w:pPr>
        <w:spacing w:after="104" w:line="265" w:lineRule="auto"/>
        <w:ind w:left="117" w:right="0"/>
        <w:rPr>
          <w:b/>
        </w:rPr>
      </w:pPr>
    </w:p>
    <w:p w:rsidR="00B90770" w:rsidRDefault="00B90770" w:rsidP="00B90770">
      <w:pPr>
        <w:spacing w:after="104" w:line="265" w:lineRule="auto"/>
        <w:ind w:left="117" w:right="0"/>
        <w:rPr>
          <w:b/>
        </w:rPr>
      </w:pPr>
    </w:p>
    <w:p w:rsidR="00B90770" w:rsidRDefault="00B90770" w:rsidP="00B90770">
      <w:pPr>
        <w:spacing w:after="104" w:line="265" w:lineRule="auto"/>
        <w:ind w:left="117" w:right="0"/>
        <w:rPr>
          <w:b/>
        </w:rPr>
      </w:pPr>
    </w:p>
    <w:p w:rsidR="00B90770" w:rsidRDefault="00B90770" w:rsidP="00B90770">
      <w:pPr>
        <w:spacing w:after="104" w:line="265" w:lineRule="auto"/>
        <w:ind w:left="117" w:right="0"/>
        <w:rPr>
          <w:b/>
        </w:rPr>
      </w:pPr>
    </w:p>
    <w:p w:rsidR="00B90770" w:rsidRDefault="00B90770" w:rsidP="00B90770">
      <w:pPr>
        <w:spacing w:after="104" w:line="265" w:lineRule="auto"/>
        <w:ind w:left="117" w:right="0"/>
        <w:rPr>
          <w:b/>
        </w:rPr>
      </w:pPr>
    </w:p>
    <w:p w:rsidR="00F42021" w:rsidRDefault="00B90770"/>
    <w:sectPr w:rsidR="00F42021" w:rsidSect="00B90770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595"/>
    <w:multiLevelType w:val="hybridMultilevel"/>
    <w:tmpl w:val="FA4CE482"/>
    <w:lvl w:ilvl="0" w:tplc="E8385944">
      <w:start w:val="3"/>
      <w:numFmt w:val="decimal"/>
      <w:lvlText w:val="%1"/>
      <w:lvlJc w:val="left"/>
      <w:pPr>
        <w:ind w:left="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E20B34">
      <w:start w:val="1"/>
      <w:numFmt w:val="bullet"/>
      <w:lvlText w:val="•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A86D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0B9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8E6EE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7CDD1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F41B6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C0DC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AE85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00A52"/>
    <w:multiLevelType w:val="hybridMultilevel"/>
    <w:tmpl w:val="5AC4AE60"/>
    <w:lvl w:ilvl="0" w:tplc="1D7CA3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3594">
      <w:start w:val="1"/>
      <w:numFmt w:val="bullet"/>
      <w:lvlRestart w:val="0"/>
      <w:lvlText w:val="•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66D56">
      <w:start w:val="1"/>
      <w:numFmt w:val="bullet"/>
      <w:lvlText w:val="▪"/>
      <w:lvlJc w:val="left"/>
      <w:pPr>
        <w:ind w:left="2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68782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8CFAC">
      <w:start w:val="1"/>
      <w:numFmt w:val="bullet"/>
      <w:lvlText w:val="o"/>
      <w:lvlJc w:val="left"/>
      <w:pPr>
        <w:ind w:left="39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2638FC">
      <w:start w:val="1"/>
      <w:numFmt w:val="bullet"/>
      <w:lvlText w:val="▪"/>
      <w:lvlJc w:val="left"/>
      <w:pPr>
        <w:ind w:left="4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0ABDDE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6EF94">
      <w:start w:val="1"/>
      <w:numFmt w:val="bullet"/>
      <w:lvlText w:val="o"/>
      <w:lvlJc w:val="left"/>
      <w:pPr>
        <w:ind w:left="6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3CA27C">
      <w:start w:val="1"/>
      <w:numFmt w:val="bullet"/>
      <w:lvlText w:val="▪"/>
      <w:lvlJc w:val="left"/>
      <w:pPr>
        <w:ind w:left="6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C6809"/>
    <w:multiLevelType w:val="hybridMultilevel"/>
    <w:tmpl w:val="03A88ACA"/>
    <w:lvl w:ilvl="0" w:tplc="F3F82B2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44EAC">
      <w:start w:val="1"/>
      <w:numFmt w:val="lowerLetter"/>
      <w:lvlRestart w:val="0"/>
      <w:lvlText w:val="%2)"/>
      <w:lvlJc w:val="left"/>
      <w:pPr>
        <w:ind w:left="1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003D0">
      <w:start w:val="1"/>
      <w:numFmt w:val="lowerRoman"/>
      <w:lvlText w:val="%3"/>
      <w:lvlJc w:val="left"/>
      <w:pPr>
        <w:ind w:left="2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43A1A">
      <w:start w:val="1"/>
      <w:numFmt w:val="decimal"/>
      <w:lvlText w:val="%4"/>
      <w:lvlJc w:val="left"/>
      <w:pPr>
        <w:ind w:left="3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04202C">
      <w:start w:val="1"/>
      <w:numFmt w:val="lowerLetter"/>
      <w:lvlText w:val="%5"/>
      <w:lvlJc w:val="left"/>
      <w:pPr>
        <w:ind w:left="3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C2D830">
      <w:start w:val="1"/>
      <w:numFmt w:val="lowerRoman"/>
      <w:lvlText w:val="%6"/>
      <w:lvlJc w:val="left"/>
      <w:pPr>
        <w:ind w:left="4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A7394">
      <w:start w:val="1"/>
      <w:numFmt w:val="decimal"/>
      <w:lvlText w:val="%7"/>
      <w:lvlJc w:val="left"/>
      <w:pPr>
        <w:ind w:left="5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858C6">
      <w:start w:val="1"/>
      <w:numFmt w:val="lowerLetter"/>
      <w:lvlText w:val="%8"/>
      <w:lvlJc w:val="left"/>
      <w:pPr>
        <w:ind w:left="6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84BEA2">
      <w:start w:val="1"/>
      <w:numFmt w:val="lowerRoman"/>
      <w:lvlText w:val="%9"/>
      <w:lvlJc w:val="left"/>
      <w:pPr>
        <w:ind w:left="6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A5097"/>
    <w:multiLevelType w:val="hybridMultilevel"/>
    <w:tmpl w:val="F752C966"/>
    <w:lvl w:ilvl="0" w:tplc="09961A7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14CD4A">
      <w:start w:val="1"/>
      <w:numFmt w:val="lowerLetter"/>
      <w:lvlText w:val="%2"/>
      <w:lvlJc w:val="left"/>
      <w:pPr>
        <w:ind w:left="7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6499A8">
      <w:start w:val="1"/>
      <w:numFmt w:val="lowerRoman"/>
      <w:lvlText w:val="%3"/>
      <w:lvlJc w:val="left"/>
      <w:pPr>
        <w:ind w:left="11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36F668">
      <w:start w:val="1"/>
      <w:numFmt w:val="decimal"/>
      <w:lvlText w:val="%4"/>
      <w:lvlJc w:val="left"/>
      <w:pPr>
        <w:ind w:left="15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CC840">
      <w:start w:val="1"/>
      <w:numFmt w:val="lowerLetter"/>
      <w:lvlRestart w:val="0"/>
      <w:lvlText w:val="%5)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AC71E">
      <w:start w:val="1"/>
      <w:numFmt w:val="lowerRoman"/>
      <w:lvlText w:val="%6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3A7128">
      <w:start w:val="1"/>
      <w:numFmt w:val="decimal"/>
      <w:lvlText w:val="%7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A359E">
      <w:start w:val="1"/>
      <w:numFmt w:val="lowerLetter"/>
      <w:lvlText w:val="%8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63976">
      <w:start w:val="1"/>
      <w:numFmt w:val="lowerRoman"/>
      <w:lvlText w:val="%9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4B2324"/>
    <w:multiLevelType w:val="hybridMultilevel"/>
    <w:tmpl w:val="AA0E5440"/>
    <w:lvl w:ilvl="0" w:tplc="9B14BEB4">
      <w:start w:val="1"/>
      <w:numFmt w:val="decimal"/>
      <w:lvlText w:val="%1)"/>
      <w:lvlJc w:val="left"/>
      <w:pPr>
        <w:ind w:left="8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509E2A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747D4E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C10F0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EA06C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E00BE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4A9DF2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9B88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44264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1279A5"/>
    <w:multiLevelType w:val="hybridMultilevel"/>
    <w:tmpl w:val="09D20740"/>
    <w:lvl w:ilvl="0" w:tplc="99D85C28">
      <w:start w:val="1"/>
      <w:numFmt w:val="lowerLetter"/>
      <w:lvlText w:val="%1)"/>
      <w:lvlJc w:val="left"/>
      <w:pPr>
        <w:ind w:left="3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092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5493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CE5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AD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8620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A8A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4C5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CB2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2018FB"/>
    <w:multiLevelType w:val="hybridMultilevel"/>
    <w:tmpl w:val="F7DEAB5C"/>
    <w:lvl w:ilvl="0" w:tplc="90882DB2">
      <w:start w:val="1"/>
      <w:numFmt w:val="decimal"/>
      <w:lvlText w:val="%1"/>
      <w:lvlJc w:val="left"/>
      <w:pPr>
        <w:ind w:left="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038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66C4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4ED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9A9C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12D2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0EF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14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5EB7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5A03B1"/>
    <w:multiLevelType w:val="hybridMultilevel"/>
    <w:tmpl w:val="BB380058"/>
    <w:lvl w:ilvl="0" w:tplc="712E6658">
      <w:start w:val="1"/>
      <w:numFmt w:val="decimal"/>
      <w:lvlText w:val="%1)"/>
      <w:lvlJc w:val="left"/>
      <w:pPr>
        <w:ind w:left="3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C4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7CF7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16EA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D06C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85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20C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522F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7D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B15FD3"/>
    <w:multiLevelType w:val="hybridMultilevel"/>
    <w:tmpl w:val="BBD453A0"/>
    <w:lvl w:ilvl="0" w:tplc="96AE26B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503B6C">
      <w:start w:val="1"/>
      <w:numFmt w:val="lowerLetter"/>
      <w:lvlText w:val="%2"/>
      <w:lvlJc w:val="left"/>
      <w:pPr>
        <w:ind w:left="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4F3A">
      <w:start w:val="1"/>
      <w:numFmt w:val="lowerRoman"/>
      <w:lvlText w:val="%3"/>
      <w:lvlJc w:val="left"/>
      <w:pPr>
        <w:ind w:left="1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A8FF72">
      <w:start w:val="1"/>
      <w:numFmt w:val="lowerLetter"/>
      <w:lvlRestart w:val="0"/>
      <w:lvlText w:val="%4)"/>
      <w:lvlJc w:val="left"/>
      <w:pPr>
        <w:ind w:left="1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6424DA">
      <w:start w:val="1"/>
      <w:numFmt w:val="lowerLetter"/>
      <w:lvlText w:val="%5"/>
      <w:lvlJc w:val="left"/>
      <w:pPr>
        <w:ind w:left="2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E86440">
      <w:start w:val="1"/>
      <w:numFmt w:val="lowerRoman"/>
      <w:lvlText w:val="%6"/>
      <w:lvlJc w:val="left"/>
      <w:pPr>
        <w:ind w:left="2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0A72C">
      <w:start w:val="1"/>
      <w:numFmt w:val="decimal"/>
      <w:lvlText w:val="%7"/>
      <w:lvlJc w:val="left"/>
      <w:pPr>
        <w:ind w:left="3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5E48B8">
      <w:start w:val="1"/>
      <w:numFmt w:val="lowerLetter"/>
      <w:lvlText w:val="%8"/>
      <w:lvlJc w:val="left"/>
      <w:pPr>
        <w:ind w:left="43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7C5614">
      <w:start w:val="1"/>
      <w:numFmt w:val="lowerRoman"/>
      <w:lvlText w:val="%9"/>
      <w:lvlJc w:val="left"/>
      <w:pPr>
        <w:ind w:left="50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107A71"/>
    <w:multiLevelType w:val="hybridMultilevel"/>
    <w:tmpl w:val="247AD654"/>
    <w:lvl w:ilvl="0" w:tplc="1220D59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E7774">
      <w:start w:val="1"/>
      <w:numFmt w:val="lowerLetter"/>
      <w:lvlRestart w:val="0"/>
      <w:lvlText w:val="%2)"/>
      <w:lvlJc w:val="left"/>
      <w:pPr>
        <w:ind w:left="1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2BE34">
      <w:start w:val="1"/>
      <w:numFmt w:val="lowerRoman"/>
      <w:lvlText w:val="%3"/>
      <w:lvlJc w:val="left"/>
      <w:pPr>
        <w:ind w:left="2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EF832">
      <w:start w:val="1"/>
      <w:numFmt w:val="decimal"/>
      <w:lvlText w:val="%4"/>
      <w:lvlJc w:val="left"/>
      <w:pPr>
        <w:ind w:left="3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8CF74">
      <w:start w:val="1"/>
      <w:numFmt w:val="lowerLetter"/>
      <w:lvlText w:val="%5"/>
      <w:lvlJc w:val="left"/>
      <w:pPr>
        <w:ind w:left="3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589B5C">
      <w:start w:val="1"/>
      <w:numFmt w:val="lowerRoman"/>
      <w:lvlText w:val="%6"/>
      <w:lvlJc w:val="left"/>
      <w:pPr>
        <w:ind w:left="4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04560">
      <w:start w:val="1"/>
      <w:numFmt w:val="decimal"/>
      <w:lvlText w:val="%7"/>
      <w:lvlJc w:val="left"/>
      <w:pPr>
        <w:ind w:left="5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A0EA6">
      <w:start w:val="1"/>
      <w:numFmt w:val="lowerLetter"/>
      <w:lvlText w:val="%8"/>
      <w:lvlJc w:val="left"/>
      <w:pPr>
        <w:ind w:left="6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41CA8">
      <w:start w:val="1"/>
      <w:numFmt w:val="lowerRoman"/>
      <w:lvlText w:val="%9"/>
      <w:lvlJc w:val="left"/>
      <w:pPr>
        <w:ind w:left="6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70"/>
    <w:rsid w:val="007F6316"/>
    <w:rsid w:val="00A6743D"/>
    <w:rsid w:val="00B9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BA453-8420-4DE4-8311-EBDD091A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770"/>
    <w:pPr>
      <w:spacing w:after="3" w:line="361" w:lineRule="auto"/>
      <w:ind w:left="132" w:right="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B9077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907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s.gov.br/area-de-imprensa/noticias/2018/abril/mds-lanca-estrategia-para-levar-qualidade-de-vida-aos-idosos" TargetMode="External"/><Relationship Id="rId13" Type="http://schemas.openxmlformats.org/officeDocument/2006/relationships/hyperlink" Target="http://www.observatorionacionaldoidoso.fiocruz.br/biblioteca/_manual/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bgg.org.br/oms-divulga-relatorio-sobre-envelhecimento-e-saude/" TargetMode="External"/><Relationship Id="rId12" Type="http://schemas.openxmlformats.org/officeDocument/2006/relationships/hyperlink" Target="http://www.pndh3.sdh.gov.br/portal/sistema/sobre-o-pndh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bgg.org.br/oms-divulga-relatorio-sobre-envelhecimento-e-saude/" TargetMode="External"/><Relationship Id="rId11" Type="http://schemas.openxmlformats.org/officeDocument/2006/relationships/hyperlink" Target="http://www.pndh3.sdh.gov.br/portal/sistema/sobre-o-pndh3" TargetMode="External"/><Relationship Id="rId5" Type="http://schemas.openxmlformats.org/officeDocument/2006/relationships/hyperlink" Target="mailto:cmi.inhumas.2018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ds.gov.br/area-de-imprensa/noticias/2018/abril/mds-lanca-estrategia-para-levar-qualidade-de-vida-aos-idos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ds.gov.br/area-de-imprensa/noticias/2018/abril/mds-lanca-estrategia-para-levar-qualidade-de-vida-aos-idosos" TargetMode="External"/><Relationship Id="rId14" Type="http://schemas.openxmlformats.org/officeDocument/2006/relationships/hyperlink" Target="http://www.observatorionacionaldoidoso.fiocruz.br/biblioteca/_manual/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2372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1</cp:revision>
  <dcterms:created xsi:type="dcterms:W3CDTF">2019-01-20T00:45:00Z</dcterms:created>
  <dcterms:modified xsi:type="dcterms:W3CDTF">2019-01-20T00:47:00Z</dcterms:modified>
</cp:coreProperties>
</file>